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17" w:rsidRDefault="004B0017" w:rsidP="00B064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19"/>
        </w:rPr>
      </w:pPr>
      <w:r w:rsidRPr="00B064CE">
        <w:rPr>
          <w:rFonts w:ascii="Arial" w:hAnsi="Arial" w:cs="Arial"/>
          <w:b/>
          <w:sz w:val="24"/>
          <w:szCs w:val="19"/>
        </w:rPr>
        <w:t>IN THE COURT OF APPEAL</w:t>
      </w:r>
    </w:p>
    <w:p w:rsidR="001C781D" w:rsidRPr="00B064CE" w:rsidRDefault="001C781D" w:rsidP="00B064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19"/>
        </w:rPr>
      </w:pPr>
      <w:r>
        <w:rPr>
          <w:rFonts w:ascii="Arial" w:hAnsi="Arial" w:cs="Arial"/>
          <w:b/>
          <w:sz w:val="24"/>
          <w:szCs w:val="19"/>
        </w:rPr>
        <w:t>Rule 112</w:t>
      </w:r>
    </w:p>
    <w:p w:rsidR="004B0017" w:rsidRPr="00B064CE" w:rsidRDefault="004B0017" w:rsidP="00B064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19"/>
        </w:rPr>
      </w:pPr>
      <w:r w:rsidRPr="00B064CE">
        <w:rPr>
          <w:rFonts w:ascii="Arial" w:hAnsi="Arial" w:cs="Arial"/>
          <w:b/>
          <w:sz w:val="24"/>
          <w:szCs w:val="19"/>
        </w:rPr>
        <w:t>Notice of Intent to Exercise Language Right</w:t>
      </w:r>
    </w:p>
    <w:p w:rsidR="00B064CE" w:rsidRPr="00B064CE" w:rsidRDefault="00B064CE" w:rsidP="00B064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19"/>
        </w:rPr>
      </w:pPr>
    </w:p>
    <w:p w:rsidR="004B0017" w:rsidRPr="00F97AE3" w:rsidRDefault="004B0017" w:rsidP="001C78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19"/>
        </w:rPr>
      </w:pPr>
      <w:r w:rsidRPr="00F97AE3">
        <w:rPr>
          <w:rFonts w:ascii="Arial" w:hAnsi="Arial" w:cs="Arial"/>
          <w:szCs w:val="19"/>
        </w:rPr>
        <w:t>The attached document begins a proceeding in the Court of Appeal. Your rights may be affected</w:t>
      </w:r>
      <w:r w:rsidR="00FE4167" w:rsidRPr="00F97AE3">
        <w:rPr>
          <w:rFonts w:ascii="Arial" w:hAnsi="Arial" w:cs="Arial"/>
          <w:szCs w:val="19"/>
        </w:rPr>
        <w:t xml:space="preserve"> </w:t>
      </w:r>
      <w:r w:rsidRPr="00F97AE3">
        <w:rPr>
          <w:rFonts w:ascii="Arial" w:hAnsi="Arial" w:cs="Arial"/>
          <w:szCs w:val="19"/>
        </w:rPr>
        <w:t>in the course of the proceeding. You have a right to use either the English or the French language even where</w:t>
      </w:r>
      <w:r w:rsidR="00FE4167" w:rsidRPr="00F97AE3">
        <w:rPr>
          <w:rFonts w:ascii="Arial" w:hAnsi="Arial" w:cs="Arial"/>
          <w:szCs w:val="19"/>
        </w:rPr>
        <w:t xml:space="preserve"> </w:t>
      </w:r>
      <w:r w:rsidRPr="00F97AE3">
        <w:rPr>
          <w:rFonts w:ascii="Arial" w:hAnsi="Arial" w:cs="Arial"/>
          <w:szCs w:val="19"/>
        </w:rPr>
        <w:t>the attached document is in the other language, but in order to exercise your right you are required</w:t>
      </w:r>
      <w:r w:rsidR="00FE4167" w:rsidRPr="00F97AE3">
        <w:rPr>
          <w:rFonts w:ascii="Arial" w:hAnsi="Arial" w:cs="Arial"/>
          <w:szCs w:val="19"/>
        </w:rPr>
        <w:t xml:space="preserve"> </w:t>
      </w:r>
      <w:r w:rsidRPr="00F97AE3">
        <w:rPr>
          <w:rFonts w:ascii="Arial" w:hAnsi="Arial" w:cs="Arial"/>
          <w:szCs w:val="19"/>
        </w:rPr>
        <w:t>within 21 days of service of this document on you to file with the registrar of the court a notice of your</w:t>
      </w:r>
      <w:r w:rsidR="00FE4167" w:rsidRPr="00F97AE3">
        <w:rPr>
          <w:rFonts w:ascii="Arial" w:hAnsi="Arial" w:cs="Arial"/>
          <w:szCs w:val="19"/>
        </w:rPr>
        <w:t xml:space="preserve"> </w:t>
      </w:r>
      <w:r w:rsidRPr="00F97AE3">
        <w:rPr>
          <w:rFonts w:ascii="Arial" w:hAnsi="Arial" w:cs="Arial"/>
          <w:szCs w:val="19"/>
        </w:rPr>
        <w:t>intention to do so and to leave with the registrar an address for service. If you file such a notice, you will be</w:t>
      </w:r>
      <w:r w:rsidR="00FE4167" w:rsidRPr="00F97AE3">
        <w:rPr>
          <w:rFonts w:ascii="Arial" w:hAnsi="Arial" w:cs="Arial"/>
          <w:szCs w:val="19"/>
        </w:rPr>
        <w:t xml:space="preserve"> </w:t>
      </w:r>
      <w:r w:rsidRPr="00F97AE3">
        <w:rPr>
          <w:rFonts w:ascii="Arial" w:hAnsi="Arial" w:cs="Arial"/>
          <w:szCs w:val="19"/>
        </w:rPr>
        <w:t>notified, in the language indicated in your notice, of further stages in the proceeding by registered mail</w:t>
      </w:r>
      <w:r w:rsidR="00FE4167" w:rsidRPr="00F97AE3">
        <w:rPr>
          <w:rFonts w:ascii="Arial" w:hAnsi="Arial" w:cs="Arial"/>
          <w:szCs w:val="19"/>
        </w:rPr>
        <w:t xml:space="preserve"> </w:t>
      </w:r>
      <w:r w:rsidRPr="00F97AE3">
        <w:rPr>
          <w:rFonts w:ascii="Arial" w:hAnsi="Arial" w:cs="Arial"/>
          <w:szCs w:val="19"/>
        </w:rPr>
        <w:t>addressed to your address for service. If you do not file a notice of your intention to exercise your right, the</w:t>
      </w:r>
      <w:r w:rsidR="00FE4167" w:rsidRPr="00F97AE3">
        <w:rPr>
          <w:rFonts w:ascii="Arial" w:hAnsi="Arial" w:cs="Arial"/>
          <w:szCs w:val="19"/>
        </w:rPr>
        <w:t xml:space="preserve"> </w:t>
      </w:r>
      <w:r w:rsidRPr="00F97AE3">
        <w:rPr>
          <w:rFonts w:ascii="Arial" w:hAnsi="Arial" w:cs="Arial"/>
          <w:szCs w:val="19"/>
        </w:rPr>
        <w:t>appeal will continue in the language of the attached document. The time limited for your filing of a notice</w:t>
      </w:r>
      <w:r w:rsidR="00FE4167" w:rsidRPr="00F97AE3">
        <w:rPr>
          <w:rFonts w:ascii="Arial" w:hAnsi="Arial" w:cs="Arial"/>
          <w:szCs w:val="19"/>
        </w:rPr>
        <w:t xml:space="preserve"> </w:t>
      </w:r>
      <w:r w:rsidRPr="00F97AE3">
        <w:rPr>
          <w:rFonts w:ascii="Arial" w:hAnsi="Arial" w:cs="Arial"/>
          <w:szCs w:val="19"/>
        </w:rPr>
        <w:t>may be enlarged or abridged at any time by order of a judge made on application in either English or French.</w:t>
      </w:r>
    </w:p>
    <w:p w:rsidR="00B064CE" w:rsidRPr="00F97AE3" w:rsidRDefault="00B064CE" w:rsidP="004B0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9"/>
        </w:rPr>
      </w:pPr>
    </w:p>
    <w:p w:rsidR="004B0017" w:rsidRPr="00F97AE3" w:rsidRDefault="004B0017" w:rsidP="004B0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9"/>
        </w:rPr>
      </w:pPr>
      <w:r w:rsidRPr="00F97AE3">
        <w:rPr>
          <w:rFonts w:ascii="Arial" w:hAnsi="Arial" w:cs="Arial"/>
          <w:szCs w:val="19"/>
        </w:rPr>
        <w:t>Registrar</w:t>
      </w:r>
    </w:p>
    <w:p w:rsidR="004B0017" w:rsidRPr="00F97AE3" w:rsidRDefault="004B0017" w:rsidP="004B0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9"/>
        </w:rPr>
      </w:pPr>
      <w:r w:rsidRPr="00F97AE3">
        <w:rPr>
          <w:rFonts w:ascii="Arial" w:hAnsi="Arial" w:cs="Arial"/>
          <w:szCs w:val="19"/>
        </w:rPr>
        <w:t>Manitoba Court of Appeal</w:t>
      </w:r>
    </w:p>
    <w:p w:rsidR="004B0017" w:rsidRPr="00F97AE3" w:rsidRDefault="004B0017" w:rsidP="004B0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9"/>
        </w:rPr>
      </w:pPr>
      <w:r w:rsidRPr="00F97AE3">
        <w:rPr>
          <w:rFonts w:ascii="Arial" w:hAnsi="Arial" w:cs="Arial"/>
          <w:szCs w:val="19"/>
        </w:rPr>
        <w:t xml:space="preserve">Room </w:t>
      </w:r>
      <w:r w:rsidR="00FE4167" w:rsidRPr="00F97AE3">
        <w:rPr>
          <w:rFonts w:ascii="Arial" w:hAnsi="Arial" w:cs="Arial"/>
          <w:szCs w:val="19"/>
        </w:rPr>
        <w:t>100E</w:t>
      </w:r>
      <w:r w:rsidRPr="00F97AE3">
        <w:rPr>
          <w:rFonts w:ascii="Arial" w:hAnsi="Arial" w:cs="Arial"/>
          <w:szCs w:val="19"/>
        </w:rPr>
        <w:t xml:space="preserve"> Law Courts Building</w:t>
      </w:r>
    </w:p>
    <w:p w:rsidR="004B0017" w:rsidRPr="00F97AE3" w:rsidRDefault="004B0017" w:rsidP="004B0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9"/>
        </w:rPr>
      </w:pPr>
      <w:r w:rsidRPr="00F97AE3">
        <w:rPr>
          <w:rFonts w:ascii="Arial" w:hAnsi="Arial" w:cs="Arial"/>
          <w:szCs w:val="19"/>
        </w:rPr>
        <w:t>408 York Avenue</w:t>
      </w:r>
    </w:p>
    <w:p w:rsidR="004B0017" w:rsidRPr="00F97AE3" w:rsidRDefault="004B0017" w:rsidP="004B0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9"/>
        </w:rPr>
      </w:pPr>
      <w:r w:rsidRPr="00F97AE3">
        <w:rPr>
          <w:rFonts w:ascii="Arial" w:hAnsi="Arial" w:cs="Arial"/>
          <w:szCs w:val="19"/>
        </w:rPr>
        <w:t>Winnipeg, Manitoba</w:t>
      </w:r>
    </w:p>
    <w:p w:rsidR="004B0017" w:rsidRPr="00F97AE3" w:rsidRDefault="004B0017" w:rsidP="004B0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9"/>
        </w:rPr>
      </w:pPr>
      <w:r w:rsidRPr="00F97AE3">
        <w:rPr>
          <w:rFonts w:ascii="Arial" w:hAnsi="Arial" w:cs="Arial"/>
          <w:szCs w:val="19"/>
        </w:rPr>
        <w:t>R3C 0P9</w:t>
      </w:r>
    </w:p>
    <w:p w:rsidR="004B0017" w:rsidRDefault="004B0017" w:rsidP="004B0017">
      <w:pPr>
        <w:autoSpaceDE w:val="0"/>
        <w:autoSpaceDN w:val="0"/>
        <w:adjustRightInd w:val="0"/>
        <w:spacing w:after="0" w:line="240" w:lineRule="auto"/>
        <w:rPr>
          <w:rFonts w:ascii="BookmanITCLtBT" w:hAnsi="BookmanITCLtBT" w:cs="BookmanITCLtBT"/>
          <w:sz w:val="19"/>
          <w:szCs w:val="19"/>
        </w:rPr>
      </w:pPr>
    </w:p>
    <w:p w:rsidR="004B0017" w:rsidRDefault="004B0017" w:rsidP="004B0017">
      <w:pPr>
        <w:autoSpaceDE w:val="0"/>
        <w:autoSpaceDN w:val="0"/>
        <w:adjustRightInd w:val="0"/>
        <w:spacing w:after="0" w:line="240" w:lineRule="auto"/>
        <w:rPr>
          <w:rFonts w:ascii="BookmanITCLtBT" w:hAnsi="BookmanITCLtBT" w:cs="BookmanITCLtBT"/>
          <w:sz w:val="19"/>
          <w:szCs w:val="19"/>
        </w:rPr>
      </w:pPr>
    </w:p>
    <w:p w:rsidR="004B0017" w:rsidRDefault="004B0017" w:rsidP="001C7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19"/>
          <w:lang w:val="fr-CA"/>
        </w:rPr>
      </w:pPr>
      <w:r w:rsidRPr="001C781D">
        <w:rPr>
          <w:rFonts w:ascii="Arial" w:hAnsi="Arial" w:cs="Arial"/>
          <w:b/>
          <w:sz w:val="24"/>
          <w:szCs w:val="19"/>
          <w:lang w:val="fr-CA"/>
        </w:rPr>
        <w:t>COUR D'APPEL</w:t>
      </w:r>
    </w:p>
    <w:p w:rsidR="001C781D" w:rsidRPr="001C781D" w:rsidRDefault="001C781D" w:rsidP="001C7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19"/>
          <w:lang w:val="fr-CA"/>
        </w:rPr>
      </w:pPr>
      <w:r w:rsidRPr="001C781D">
        <w:rPr>
          <w:rFonts w:ascii="Arial" w:hAnsi="Arial" w:cs="Arial"/>
          <w:b/>
          <w:sz w:val="24"/>
          <w:szCs w:val="19"/>
          <w:lang w:val="fr-CA"/>
        </w:rPr>
        <w:t>Règle 112</w:t>
      </w:r>
    </w:p>
    <w:p w:rsidR="004B0017" w:rsidRPr="001C781D" w:rsidRDefault="004B0017" w:rsidP="001C7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19"/>
          <w:lang w:val="fr-CA"/>
        </w:rPr>
      </w:pPr>
      <w:r w:rsidRPr="001C781D">
        <w:rPr>
          <w:rFonts w:ascii="Arial" w:hAnsi="Arial" w:cs="Arial"/>
          <w:b/>
          <w:sz w:val="24"/>
          <w:szCs w:val="19"/>
          <w:lang w:val="fr-CA"/>
        </w:rPr>
        <w:t>Avis relatif au droit d'utilisation d'une langue</w:t>
      </w:r>
    </w:p>
    <w:p w:rsidR="001C781D" w:rsidRDefault="001C781D" w:rsidP="004B0017">
      <w:pPr>
        <w:autoSpaceDE w:val="0"/>
        <w:autoSpaceDN w:val="0"/>
        <w:adjustRightInd w:val="0"/>
        <w:spacing w:after="0" w:line="240" w:lineRule="auto"/>
        <w:rPr>
          <w:rFonts w:ascii="BookmanITCLtBT" w:hAnsi="BookmanITCLtBT" w:cs="BookmanITCLtBT"/>
          <w:sz w:val="19"/>
          <w:szCs w:val="19"/>
          <w:lang w:val="fr-CA"/>
        </w:rPr>
      </w:pPr>
    </w:p>
    <w:p w:rsidR="004B0017" w:rsidRPr="00F97AE3" w:rsidRDefault="004B0017" w:rsidP="00AD1D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fr-CA"/>
        </w:rPr>
      </w:pPr>
      <w:r w:rsidRPr="00F97AE3">
        <w:rPr>
          <w:rFonts w:ascii="Arial" w:hAnsi="Arial" w:cs="Arial"/>
          <w:lang w:val="fr-CA"/>
        </w:rPr>
        <w:t>Le document ci-joint constitue un document introductif d'instance devant la Cour d'appel. Les</w:t>
      </w:r>
      <w:r w:rsidR="00ED386C">
        <w:rPr>
          <w:rFonts w:ascii="Arial" w:hAnsi="Arial" w:cs="Arial"/>
          <w:lang w:val="fr-CA"/>
        </w:rPr>
        <w:t xml:space="preserve"> </w:t>
      </w:r>
      <w:r w:rsidRPr="00F97AE3">
        <w:rPr>
          <w:rFonts w:ascii="Arial" w:hAnsi="Arial" w:cs="Arial"/>
          <w:lang w:val="fr-CA"/>
        </w:rPr>
        <w:t>procédures dans l'instance pourront porter atteinte à vos droits. Vous avez le droit d'utiliser l'anglais ou le</w:t>
      </w:r>
      <w:r w:rsidR="00F97AE3">
        <w:rPr>
          <w:rFonts w:ascii="Arial" w:hAnsi="Arial" w:cs="Arial"/>
          <w:lang w:val="fr-CA"/>
        </w:rPr>
        <w:t xml:space="preserve"> </w:t>
      </w:r>
      <w:r w:rsidRPr="00F97AE3">
        <w:rPr>
          <w:rFonts w:ascii="Arial" w:hAnsi="Arial" w:cs="Arial"/>
          <w:lang w:val="fr-CA"/>
        </w:rPr>
        <w:t>français aux différentes étapes de l'instance même lorsque le document ci-joint est rédigé dans l'autre langue.</w:t>
      </w:r>
      <w:r w:rsidR="00F97AE3">
        <w:rPr>
          <w:rFonts w:ascii="Arial" w:hAnsi="Arial" w:cs="Arial"/>
          <w:lang w:val="fr-CA"/>
        </w:rPr>
        <w:t xml:space="preserve"> </w:t>
      </w:r>
      <w:r w:rsidRPr="00F97AE3">
        <w:rPr>
          <w:rFonts w:ascii="Arial" w:hAnsi="Arial" w:cs="Arial"/>
          <w:lang w:val="fr-CA"/>
        </w:rPr>
        <w:t>Si vous désirez exercer votre droit d'utiliser l'une ou l'autre langue, vous devez, dans les 21 jours de la</w:t>
      </w:r>
      <w:r w:rsidR="00F97AE3">
        <w:rPr>
          <w:rFonts w:ascii="Arial" w:hAnsi="Arial" w:cs="Arial"/>
          <w:lang w:val="fr-CA"/>
        </w:rPr>
        <w:t xml:space="preserve"> </w:t>
      </w:r>
      <w:r w:rsidRPr="00F97AE3">
        <w:rPr>
          <w:rFonts w:ascii="Arial" w:hAnsi="Arial" w:cs="Arial"/>
          <w:lang w:val="fr-CA"/>
        </w:rPr>
        <w:t>signification qui vous est faite de ce document, déposer auprès du registraire de la Cour d'appel un avis à</w:t>
      </w:r>
      <w:r w:rsidR="00F97AE3">
        <w:rPr>
          <w:rFonts w:ascii="Arial" w:hAnsi="Arial" w:cs="Arial"/>
          <w:lang w:val="fr-CA"/>
        </w:rPr>
        <w:t xml:space="preserve"> </w:t>
      </w:r>
      <w:r w:rsidRPr="00F97AE3">
        <w:rPr>
          <w:rFonts w:ascii="Arial" w:hAnsi="Arial" w:cs="Arial"/>
          <w:lang w:val="fr-CA"/>
        </w:rPr>
        <w:t>cette fin et lui indiquer un domicile élu aux fins de signification. Si vous déposez cet avis, vous serez avisé(e)</w:t>
      </w:r>
      <w:r w:rsidR="00F97AE3">
        <w:rPr>
          <w:rFonts w:ascii="Arial" w:hAnsi="Arial" w:cs="Arial"/>
          <w:lang w:val="fr-CA"/>
        </w:rPr>
        <w:t xml:space="preserve"> </w:t>
      </w:r>
      <w:r w:rsidRPr="00F97AE3">
        <w:rPr>
          <w:rFonts w:ascii="Arial" w:hAnsi="Arial" w:cs="Arial"/>
          <w:lang w:val="fr-CA"/>
        </w:rPr>
        <w:t>des procédures subséquentes par lettre recommandée envoyée à votre domicile élu aux fins de signification,</w:t>
      </w:r>
      <w:r w:rsidR="00F97AE3">
        <w:rPr>
          <w:rFonts w:ascii="Arial" w:hAnsi="Arial" w:cs="Arial"/>
          <w:lang w:val="fr-CA"/>
        </w:rPr>
        <w:t xml:space="preserve"> </w:t>
      </w:r>
      <w:r w:rsidRPr="00F97AE3">
        <w:rPr>
          <w:rFonts w:ascii="Arial" w:hAnsi="Arial" w:cs="Arial"/>
          <w:lang w:val="fr-CA"/>
        </w:rPr>
        <w:t>dans la langue que vous aurez indiquée dans l'avis. Si vous ne déposez pas un avis de votre intention</w:t>
      </w:r>
      <w:r w:rsidR="00F97AE3">
        <w:rPr>
          <w:rFonts w:ascii="Arial" w:hAnsi="Arial" w:cs="Arial"/>
          <w:lang w:val="fr-CA"/>
        </w:rPr>
        <w:t xml:space="preserve"> </w:t>
      </w:r>
      <w:r w:rsidRPr="00F97AE3">
        <w:rPr>
          <w:rFonts w:ascii="Arial" w:hAnsi="Arial" w:cs="Arial"/>
          <w:lang w:val="fr-CA"/>
        </w:rPr>
        <w:t>d'exercer votre droit, toutes les procédures subséquentes en appel se dérouleront dans la même langue que</w:t>
      </w:r>
      <w:r w:rsidR="00F97AE3">
        <w:rPr>
          <w:rFonts w:ascii="Arial" w:hAnsi="Arial" w:cs="Arial"/>
          <w:lang w:val="fr-CA"/>
        </w:rPr>
        <w:t xml:space="preserve"> </w:t>
      </w:r>
      <w:r w:rsidRPr="00F97AE3">
        <w:rPr>
          <w:rFonts w:ascii="Arial" w:hAnsi="Arial" w:cs="Arial"/>
          <w:lang w:val="fr-CA"/>
        </w:rPr>
        <w:t>celle du document ci-joint. Suite à une demande présentée en anglais ou en français, le juge peut, en tout</w:t>
      </w:r>
      <w:r w:rsidR="00F97AE3">
        <w:rPr>
          <w:rFonts w:ascii="Arial" w:hAnsi="Arial" w:cs="Arial"/>
          <w:lang w:val="fr-CA"/>
        </w:rPr>
        <w:t xml:space="preserve"> </w:t>
      </w:r>
      <w:r w:rsidRPr="00F97AE3">
        <w:rPr>
          <w:rFonts w:ascii="Arial" w:hAnsi="Arial" w:cs="Arial"/>
          <w:lang w:val="fr-CA"/>
        </w:rPr>
        <w:t>temps, par ordonnance, proroger ou abréger le délai prescrit pour le dépôt de l'avis.</w:t>
      </w:r>
    </w:p>
    <w:p w:rsidR="00F97AE3" w:rsidRDefault="00F97AE3" w:rsidP="004B0017">
      <w:pPr>
        <w:autoSpaceDE w:val="0"/>
        <w:autoSpaceDN w:val="0"/>
        <w:adjustRightInd w:val="0"/>
        <w:spacing w:after="0" w:line="240" w:lineRule="auto"/>
        <w:rPr>
          <w:rFonts w:ascii="BookmanITCLtBT" w:hAnsi="BookmanITCLtBT" w:cs="BookmanITCLtBT"/>
          <w:sz w:val="19"/>
          <w:szCs w:val="19"/>
          <w:lang w:val="fr-CA"/>
        </w:rPr>
      </w:pPr>
    </w:p>
    <w:p w:rsidR="004B0017" w:rsidRPr="00F97AE3" w:rsidRDefault="004B0017" w:rsidP="004B0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9"/>
          <w:lang w:val="fr-CA"/>
        </w:rPr>
      </w:pPr>
      <w:r w:rsidRPr="00F97AE3">
        <w:rPr>
          <w:rFonts w:ascii="Arial" w:hAnsi="Arial" w:cs="Arial"/>
          <w:szCs w:val="19"/>
          <w:lang w:val="fr-CA"/>
        </w:rPr>
        <w:t>Registraire</w:t>
      </w:r>
    </w:p>
    <w:p w:rsidR="004B0017" w:rsidRPr="00F97AE3" w:rsidRDefault="004B0017" w:rsidP="004B0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9"/>
          <w:lang w:val="fr-CA"/>
        </w:rPr>
      </w:pPr>
      <w:r w:rsidRPr="00F97AE3">
        <w:rPr>
          <w:rFonts w:ascii="Arial" w:hAnsi="Arial" w:cs="Arial"/>
          <w:szCs w:val="19"/>
          <w:lang w:val="fr-CA"/>
        </w:rPr>
        <w:t>Cour d'appel du Manitoba</w:t>
      </w:r>
    </w:p>
    <w:p w:rsidR="004B0017" w:rsidRPr="00F97AE3" w:rsidRDefault="004B0017" w:rsidP="004B0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9"/>
          <w:lang w:val="fr-CA"/>
        </w:rPr>
      </w:pPr>
      <w:r w:rsidRPr="00F97AE3">
        <w:rPr>
          <w:rFonts w:ascii="Arial" w:hAnsi="Arial" w:cs="Arial"/>
          <w:szCs w:val="19"/>
          <w:lang w:val="fr-CA"/>
        </w:rPr>
        <w:t>Palais de justice</w:t>
      </w:r>
    </w:p>
    <w:p w:rsidR="004B0017" w:rsidRPr="00F97AE3" w:rsidRDefault="004B0017" w:rsidP="004B0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9"/>
        </w:rPr>
      </w:pPr>
      <w:r w:rsidRPr="00F97AE3">
        <w:rPr>
          <w:rFonts w:ascii="Arial" w:hAnsi="Arial" w:cs="Arial"/>
          <w:szCs w:val="19"/>
        </w:rPr>
        <w:t xml:space="preserve">408, avenue York, pièce </w:t>
      </w:r>
      <w:r w:rsidR="00F97AE3">
        <w:rPr>
          <w:rFonts w:ascii="Arial" w:hAnsi="Arial" w:cs="Arial"/>
          <w:szCs w:val="19"/>
        </w:rPr>
        <w:t>100E</w:t>
      </w:r>
    </w:p>
    <w:p w:rsidR="004B0017" w:rsidRPr="00F97AE3" w:rsidRDefault="004B0017" w:rsidP="004B0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9"/>
        </w:rPr>
      </w:pPr>
      <w:r w:rsidRPr="00F97AE3">
        <w:rPr>
          <w:rFonts w:ascii="Arial" w:hAnsi="Arial" w:cs="Arial"/>
          <w:szCs w:val="19"/>
        </w:rPr>
        <w:t>Winnipeg, Manitoba</w:t>
      </w:r>
    </w:p>
    <w:p w:rsidR="004B0017" w:rsidRPr="00F97AE3" w:rsidRDefault="004B0017" w:rsidP="004B0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9"/>
        </w:rPr>
      </w:pPr>
      <w:r w:rsidRPr="00F97AE3">
        <w:rPr>
          <w:rFonts w:ascii="Arial" w:hAnsi="Arial" w:cs="Arial"/>
          <w:szCs w:val="19"/>
        </w:rPr>
        <w:t>R3C OP9</w:t>
      </w:r>
    </w:p>
    <w:sectPr w:rsidR="004B0017" w:rsidRPr="00F97AE3" w:rsidSect="00AD1D76">
      <w:headerReference w:type="default" r:id="rId6"/>
      <w:pgSz w:w="12240" w:h="15840"/>
      <w:pgMar w:top="1134" w:right="1440" w:bottom="1440" w:left="1440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D76" w:rsidRDefault="00AD1D76" w:rsidP="00B064CE">
      <w:pPr>
        <w:spacing w:after="0" w:line="240" w:lineRule="auto"/>
      </w:pPr>
      <w:r>
        <w:separator/>
      </w:r>
    </w:p>
  </w:endnote>
  <w:endnote w:type="continuationSeparator" w:id="0">
    <w:p w:rsidR="00AD1D76" w:rsidRDefault="00AD1D76" w:rsidP="00B06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ITCLt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D76" w:rsidRDefault="00AD1D76" w:rsidP="00B064CE">
      <w:pPr>
        <w:spacing w:after="0" w:line="240" w:lineRule="auto"/>
      </w:pPr>
      <w:r>
        <w:separator/>
      </w:r>
    </w:p>
  </w:footnote>
  <w:footnote w:type="continuationSeparator" w:id="0">
    <w:p w:rsidR="00AD1D76" w:rsidRDefault="00AD1D76" w:rsidP="00B06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D76" w:rsidRDefault="00AD1D76">
    <w:pPr>
      <w:pStyle w:val="Header"/>
    </w:pPr>
    <w:r>
      <w:rPr>
        <w:rFonts w:ascii="Arial" w:hAnsi="Arial" w:cs="Arial"/>
        <w:sz w:val="16"/>
        <w:szCs w:val="16"/>
      </w:rPr>
      <w:t xml:space="preserve">Schedule C – Rule 112 </w:t>
    </w:r>
    <w:r w:rsidRPr="003F7B80">
      <w:rPr>
        <w:rFonts w:ascii="Arial" w:hAnsi="Arial" w:cs="Arial"/>
        <w:sz w:val="16"/>
        <w:szCs w:val="16"/>
      </w:rPr>
      <w:t>–</w:t>
    </w:r>
    <w:r>
      <w:rPr>
        <w:rFonts w:ascii="Arial" w:hAnsi="Arial" w:cs="Arial"/>
        <w:sz w:val="16"/>
        <w:szCs w:val="16"/>
      </w:rPr>
      <w:t xml:space="preserve"> </w:t>
    </w:r>
    <w:r w:rsidRPr="003F7B80">
      <w:rPr>
        <w:rFonts w:ascii="Arial" w:hAnsi="Arial" w:cs="Arial"/>
        <w:sz w:val="16"/>
        <w:szCs w:val="16"/>
      </w:rPr>
      <w:t xml:space="preserve">Page </w:t>
    </w:r>
    <w:r w:rsidRPr="003F7B80">
      <w:rPr>
        <w:rFonts w:ascii="Arial" w:hAnsi="Arial" w:cs="Arial"/>
        <w:sz w:val="16"/>
        <w:szCs w:val="16"/>
      </w:rPr>
      <w:fldChar w:fldCharType="begin"/>
    </w:r>
    <w:r w:rsidRPr="003F7B80">
      <w:rPr>
        <w:rFonts w:ascii="Arial" w:hAnsi="Arial" w:cs="Arial"/>
        <w:sz w:val="16"/>
        <w:szCs w:val="16"/>
      </w:rPr>
      <w:instrText xml:space="preserve"> PAGE   \* MERGEFORMAT </w:instrText>
    </w:r>
    <w:r w:rsidRPr="003F7B80">
      <w:rPr>
        <w:rFonts w:ascii="Arial" w:hAnsi="Arial" w:cs="Arial"/>
        <w:sz w:val="16"/>
        <w:szCs w:val="16"/>
      </w:rPr>
      <w:fldChar w:fldCharType="separate"/>
    </w:r>
    <w:r w:rsidR="00ED386C">
      <w:rPr>
        <w:rFonts w:ascii="Arial" w:hAnsi="Arial" w:cs="Arial"/>
        <w:noProof/>
        <w:sz w:val="16"/>
        <w:szCs w:val="16"/>
      </w:rPr>
      <w:t>1</w:t>
    </w:r>
    <w:r w:rsidRPr="003F7B80">
      <w:rPr>
        <w:rFonts w:ascii="Arial" w:hAnsi="Arial" w:cs="Arial"/>
        <w:sz w:val="16"/>
        <w:szCs w:val="16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017"/>
    <w:rsid w:val="001C781D"/>
    <w:rsid w:val="0031586E"/>
    <w:rsid w:val="004B0017"/>
    <w:rsid w:val="00976C13"/>
    <w:rsid w:val="00AD1D76"/>
    <w:rsid w:val="00B064CE"/>
    <w:rsid w:val="00ED386C"/>
    <w:rsid w:val="00F97AE3"/>
    <w:rsid w:val="00FE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6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64CE"/>
  </w:style>
  <w:style w:type="paragraph" w:styleId="Footer">
    <w:name w:val="footer"/>
    <w:basedOn w:val="Normal"/>
    <w:link w:val="FooterChar"/>
    <w:uiPriority w:val="99"/>
    <w:semiHidden/>
    <w:unhideWhenUsed/>
    <w:rsid w:val="00B06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64CE"/>
  </w:style>
  <w:style w:type="paragraph" w:styleId="BalloonText">
    <w:name w:val="Balloon Text"/>
    <w:basedOn w:val="Normal"/>
    <w:link w:val="BalloonTextChar"/>
    <w:uiPriority w:val="99"/>
    <w:semiHidden/>
    <w:unhideWhenUsed/>
    <w:rsid w:val="00AD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sstritz</dc:creator>
  <cp:lastModifiedBy>sstritz</cp:lastModifiedBy>
  <cp:revision>10</cp:revision>
  <cp:lastPrinted>2013-05-29T16:24:00Z</cp:lastPrinted>
  <dcterms:created xsi:type="dcterms:W3CDTF">2013-05-29T16:13:00Z</dcterms:created>
  <dcterms:modified xsi:type="dcterms:W3CDTF">2013-05-29T16:25:00Z</dcterms:modified>
</cp:coreProperties>
</file>